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theme/themeOverride1.xml" ContentType="application/vnd.openxmlformats-officedocument.themeOverride+xml"/>
  <Override PartName="/word/charts/chart8.xml" ContentType="application/vnd.openxmlformats-officedocument.drawingml.chart+xml"/>
  <Override PartName="/word/theme/themeOverride2.xml" ContentType="application/vnd.openxmlformats-officedocument.themeOverride+xml"/>
  <Override PartName="/word/charts/chart9.xml" ContentType="application/vnd.openxmlformats-officedocument.drawingml.chart+xml"/>
  <Override PartName="/word/theme/themeOverride3.xml" ContentType="application/vnd.openxmlformats-officedocument.themeOverride+xml"/>
  <Override PartName="/word/charts/chart10.xml" ContentType="application/vnd.openxmlformats-officedocument.drawingml.chart+xml"/>
  <Override PartName="/word/theme/themeOverride4.xml" ContentType="application/vnd.openxmlformats-officedocument.themeOverride+xml"/>
  <Override PartName="/word/charts/chart11.xml" ContentType="application/vnd.openxmlformats-officedocument.drawingml.chart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C4F" w:rsidRDefault="00B87C4F"/>
    <w:p w:rsidR="00541827" w:rsidRDefault="00541827" w:rsidP="00541827">
      <w:pPr>
        <w:pStyle w:val="Default"/>
      </w:pPr>
    </w:p>
    <w:p w:rsidR="00541827" w:rsidRDefault="00541827" w:rsidP="00541827">
      <w:pPr>
        <w:pStyle w:val="Default"/>
      </w:pPr>
    </w:p>
    <w:p w:rsidR="00541827" w:rsidRDefault="00541827" w:rsidP="00541827">
      <w:pPr>
        <w:pStyle w:val="Default"/>
      </w:pPr>
    </w:p>
    <w:p w:rsidR="00541827" w:rsidRPr="00541827" w:rsidRDefault="00541827" w:rsidP="00541827">
      <w:pPr>
        <w:jc w:val="both"/>
        <w:rPr>
          <w:rFonts w:asciiTheme="majorHAnsi" w:hAnsiTheme="majorHAnsi"/>
          <w:sz w:val="24"/>
          <w:szCs w:val="24"/>
        </w:rPr>
      </w:pPr>
      <w:r w:rsidRPr="00541827">
        <w:rPr>
          <w:rFonts w:asciiTheme="majorHAnsi" w:hAnsiTheme="majorHAnsi"/>
          <w:sz w:val="24"/>
          <w:szCs w:val="24"/>
        </w:rPr>
        <w:t>Orden HAP/2525/2015, de 24 de noviembre, por la que se convoca proceso selectivo para acceso por promoción interna, para personal funcionario y personal laboral fijo, a la Escala Técnica de Gestión de Organismos Autónomos.</w:t>
      </w:r>
    </w:p>
    <w:p w:rsidR="00541827" w:rsidRPr="00541827" w:rsidRDefault="00541827">
      <w:pPr>
        <w:rPr>
          <w:rFonts w:asciiTheme="majorHAnsi" w:hAnsiTheme="majorHAnsi"/>
          <w:sz w:val="24"/>
          <w:szCs w:val="24"/>
          <w:highlight w:val="green"/>
        </w:rPr>
      </w:pPr>
    </w:p>
    <w:p w:rsidR="00266400" w:rsidRPr="00541827" w:rsidRDefault="00266400" w:rsidP="00541827">
      <w:pPr>
        <w:rPr>
          <w:rFonts w:asciiTheme="majorHAnsi" w:hAnsiTheme="majorHAnsi"/>
          <w:sz w:val="24"/>
          <w:szCs w:val="24"/>
        </w:rPr>
      </w:pPr>
      <w:r w:rsidRPr="00541827">
        <w:rPr>
          <w:rFonts w:asciiTheme="majorHAnsi" w:hAnsiTheme="majorHAnsi"/>
          <w:sz w:val="24"/>
          <w:szCs w:val="24"/>
          <w:highlight w:val="yellow"/>
        </w:rPr>
        <w:t>SOLICITUDES POR MEDIO DE PRESENTACIÓN</w:t>
      </w:r>
    </w:p>
    <w:p w:rsidR="00266400" w:rsidRDefault="00266400"/>
    <w:p w:rsidR="00266400" w:rsidRDefault="00266400" w:rsidP="00576EFA">
      <w:pPr>
        <w:jc w:val="center"/>
      </w:pPr>
      <w:r>
        <w:rPr>
          <w:noProof/>
          <w:lang w:eastAsia="es-ES"/>
        </w:rPr>
        <w:drawing>
          <wp:inline distT="0" distB="0" distL="0" distR="0" wp14:anchorId="28F1D7D8" wp14:editId="47DAF8C1">
            <wp:extent cx="5537200" cy="3848100"/>
            <wp:effectExtent l="0" t="0" r="25400" b="190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1827" w:rsidRDefault="00541827">
      <w:pPr>
        <w:rPr>
          <w:rFonts w:asciiTheme="majorHAnsi" w:hAnsiTheme="majorHAnsi"/>
          <w:sz w:val="24"/>
          <w:szCs w:val="24"/>
          <w:highlight w:val="yellow"/>
        </w:rPr>
      </w:pPr>
      <w:r>
        <w:rPr>
          <w:rFonts w:asciiTheme="majorHAnsi" w:hAnsiTheme="majorHAnsi"/>
          <w:sz w:val="24"/>
          <w:szCs w:val="24"/>
          <w:highlight w:val="yellow"/>
        </w:rPr>
        <w:br w:type="page"/>
      </w:r>
    </w:p>
    <w:p w:rsidR="00541827" w:rsidRDefault="00541827">
      <w:pPr>
        <w:rPr>
          <w:rFonts w:asciiTheme="majorHAnsi" w:hAnsiTheme="majorHAnsi"/>
          <w:sz w:val="24"/>
          <w:szCs w:val="24"/>
          <w:highlight w:val="yellow"/>
        </w:rPr>
      </w:pPr>
    </w:p>
    <w:p w:rsidR="005817B1" w:rsidRDefault="005817B1">
      <w:pPr>
        <w:rPr>
          <w:rFonts w:asciiTheme="majorHAnsi" w:hAnsiTheme="majorHAnsi"/>
          <w:sz w:val="24"/>
          <w:szCs w:val="24"/>
        </w:rPr>
      </w:pPr>
      <w:r w:rsidRPr="00541827">
        <w:rPr>
          <w:rFonts w:asciiTheme="majorHAnsi" w:hAnsiTheme="majorHAnsi"/>
          <w:sz w:val="24"/>
          <w:szCs w:val="24"/>
          <w:highlight w:val="yellow"/>
        </w:rPr>
        <w:t>SOLICITUDES Y APROBADOS POR EDAD</w:t>
      </w:r>
    </w:p>
    <w:p w:rsidR="008130C1" w:rsidRPr="00541827" w:rsidRDefault="008130C1">
      <w:pPr>
        <w:rPr>
          <w:rFonts w:asciiTheme="majorHAnsi" w:hAnsiTheme="majorHAnsi"/>
          <w:sz w:val="24"/>
          <w:szCs w:val="24"/>
        </w:rPr>
      </w:pPr>
    </w:p>
    <w:p w:rsidR="00266400" w:rsidRDefault="00266400" w:rsidP="00576EFA">
      <w:pPr>
        <w:jc w:val="center"/>
      </w:pPr>
      <w:r>
        <w:rPr>
          <w:noProof/>
          <w:lang w:eastAsia="es-ES"/>
        </w:rPr>
        <w:drawing>
          <wp:inline distT="0" distB="0" distL="0" distR="0" wp14:anchorId="0D30B27A" wp14:editId="2DEF36C7">
            <wp:extent cx="5295900" cy="2895600"/>
            <wp:effectExtent l="0" t="0" r="19050" b="1905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76EFA" w:rsidRDefault="00576EFA"/>
    <w:p w:rsidR="00576EFA" w:rsidRDefault="00576EFA"/>
    <w:p w:rsidR="00266400" w:rsidRDefault="00266400" w:rsidP="000D4E6F">
      <w:pPr>
        <w:jc w:val="center"/>
      </w:pPr>
      <w:r>
        <w:rPr>
          <w:noProof/>
          <w:lang w:eastAsia="es-ES"/>
        </w:rPr>
        <w:drawing>
          <wp:inline distT="0" distB="0" distL="0" distR="0" wp14:anchorId="7F33714C" wp14:editId="39A4B7A8">
            <wp:extent cx="5334000" cy="2882900"/>
            <wp:effectExtent l="0" t="0" r="19050" b="1270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41827" w:rsidRDefault="00541827">
      <w:pPr>
        <w:rPr>
          <w:highlight w:val="yellow"/>
        </w:rPr>
      </w:pPr>
      <w:r>
        <w:rPr>
          <w:highlight w:val="yellow"/>
        </w:rPr>
        <w:br w:type="page"/>
      </w:r>
    </w:p>
    <w:p w:rsidR="00541827" w:rsidRDefault="00541827">
      <w:pPr>
        <w:rPr>
          <w:highlight w:val="yellow"/>
        </w:rPr>
      </w:pPr>
    </w:p>
    <w:p w:rsidR="005817B1" w:rsidRDefault="005817B1">
      <w:r w:rsidRPr="00576EFA">
        <w:rPr>
          <w:highlight w:val="yellow"/>
        </w:rPr>
        <w:t>SOLICITUDES Y APROBADOS POR TITULACIÓN</w:t>
      </w:r>
    </w:p>
    <w:p w:rsidR="00541827" w:rsidRDefault="00541827"/>
    <w:p w:rsidR="00266400" w:rsidRDefault="00266400" w:rsidP="000D4E6F">
      <w:pPr>
        <w:jc w:val="center"/>
      </w:pPr>
      <w:r>
        <w:rPr>
          <w:noProof/>
          <w:lang w:eastAsia="es-ES"/>
        </w:rPr>
        <w:drawing>
          <wp:inline distT="0" distB="0" distL="0" distR="0" wp14:anchorId="5A0FB062" wp14:editId="26A44AFE">
            <wp:extent cx="5384800" cy="3378200"/>
            <wp:effectExtent l="0" t="0" r="25400" b="1270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41827" w:rsidRDefault="00541827"/>
    <w:p w:rsidR="00541827" w:rsidRDefault="00541827"/>
    <w:p w:rsidR="00266400" w:rsidRDefault="00266400" w:rsidP="000D4E6F">
      <w:pPr>
        <w:jc w:val="center"/>
      </w:pPr>
      <w:r>
        <w:rPr>
          <w:noProof/>
          <w:lang w:eastAsia="es-ES"/>
        </w:rPr>
        <w:drawing>
          <wp:inline distT="0" distB="0" distL="0" distR="0" wp14:anchorId="67087FE0" wp14:editId="4E4502FE">
            <wp:extent cx="5384800" cy="3644900"/>
            <wp:effectExtent l="0" t="0" r="25400" b="1270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41827" w:rsidRDefault="00541827"/>
    <w:p w:rsidR="00576EFA" w:rsidRDefault="00576EFA">
      <w:r w:rsidRPr="00576EFA">
        <w:rPr>
          <w:highlight w:val="yellow"/>
        </w:rPr>
        <w:t>IMPACTO DE GÉNERO: SOLICITUDES Y APROBADOS</w:t>
      </w:r>
    </w:p>
    <w:p w:rsidR="000D4E6F" w:rsidRDefault="000D4E6F"/>
    <w:p w:rsidR="00266400" w:rsidRDefault="00266400" w:rsidP="000D4E6F">
      <w:pPr>
        <w:jc w:val="center"/>
      </w:pPr>
      <w:r>
        <w:rPr>
          <w:noProof/>
          <w:lang w:eastAsia="es-ES"/>
        </w:rPr>
        <w:drawing>
          <wp:inline distT="0" distB="0" distL="0" distR="0" wp14:anchorId="119FE9A8" wp14:editId="568FBD0C">
            <wp:extent cx="5041900" cy="3479800"/>
            <wp:effectExtent l="0" t="0" r="25400" b="2540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D4E6F" w:rsidRDefault="000D4E6F" w:rsidP="000D4E6F">
      <w:pPr>
        <w:jc w:val="center"/>
      </w:pPr>
    </w:p>
    <w:p w:rsidR="00541827" w:rsidRDefault="00541827" w:rsidP="000D4E6F">
      <w:pPr>
        <w:jc w:val="center"/>
      </w:pPr>
      <w:r>
        <w:rPr>
          <w:noProof/>
          <w:lang w:eastAsia="es-ES"/>
        </w:rPr>
        <w:drawing>
          <wp:inline distT="0" distB="0" distL="0" distR="0" wp14:anchorId="63E73AEB" wp14:editId="38CC2CF4">
            <wp:extent cx="5092700" cy="3136900"/>
            <wp:effectExtent l="0" t="0" r="12700" b="2540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41827" w:rsidRDefault="00541827"/>
    <w:p w:rsidR="00541827" w:rsidRDefault="00541827">
      <w:pPr>
        <w:rPr>
          <w:rFonts w:asciiTheme="majorHAnsi" w:hAnsiTheme="majorHAnsi"/>
          <w:sz w:val="24"/>
          <w:szCs w:val="24"/>
          <w:highlight w:val="yellow"/>
        </w:rPr>
      </w:pPr>
      <w:r>
        <w:rPr>
          <w:rFonts w:asciiTheme="majorHAnsi" w:hAnsiTheme="majorHAnsi"/>
          <w:sz w:val="24"/>
          <w:szCs w:val="24"/>
          <w:highlight w:val="yellow"/>
        </w:rPr>
        <w:br w:type="page"/>
      </w:r>
    </w:p>
    <w:p w:rsidR="00541827" w:rsidRDefault="00541827">
      <w:pPr>
        <w:rPr>
          <w:rFonts w:asciiTheme="majorHAnsi" w:hAnsiTheme="majorHAnsi"/>
          <w:sz w:val="24"/>
          <w:szCs w:val="24"/>
        </w:rPr>
      </w:pPr>
      <w:r w:rsidRPr="00541827">
        <w:rPr>
          <w:rFonts w:asciiTheme="majorHAnsi" w:hAnsiTheme="majorHAnsi"/>
          <w:sz w:val="24"/>
          <w:szCs w:val="24"/>
          <w:highlight w:val="yellow"/>
        </w:rPr>
        <w:lastRenderedPageBreak/>
        <w:t>ASPIRANTES Y APROBADOS POR SISTEMA DE ACCESO: GENERAL Y CUPO DE RESERVA PARA PERSONAS CON DISCAPACIDAD</w:t>
      </w:r>
    </w:p>
    <w:p w:rsidR="000D4E6F" w:rsidRDefault="000D4E6F">
      <w:pPr>
        <w:rPr>
          <w:rFonts w:asciiTheme="majorHAnsi" w:hAnsiTheme="majorHAnsi"/>
          <w:sz w:val="24"/>
          <w:szCs w:val="24"/>
        </w:rPr>
      </w:pPr>
    </w:p>
    <w:p w:rsidR="00266400" w:rsidRDefault="00266400" w:rsidP="000D4E6F">
      <w:pPr>
        <w:jc w:val="center"/>
      </w:pPr>
      <w:r>
        <w:rPr>
          <w:noProof/>
          <w:lang w:eastAsia="es-ES"/>
        </w:rPr>
        <w:drawing>
          <wp:inline distT="0" distB="0" distL="0" distR="0" wp14:anchorId="4DB6F918" wp14:editId="41301A03">
            <wp:extent cx="5130800" cy="3390900"/>
            <wp:effectExtent l="0" t="0" r="12700" b="1905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D4E6F" w:rsidRDefault="000D4E6F" w:rsidP="000D4E6F">
      <w:pPr>
        <w:jc w:val="center"/>
      </w:pPr>
    </w:p>
    <w:p w:rsidR="00266400" w:rsidRDefault="00266400" w:rsidP="000D4E6F">
      <w:pPr>
        <w:jc w:val="center"/>
      </w:pPr>
      <w:r>
        <w:rPr>
          <w:noProof/>
          <w:lang w:eastAsia="es-ES"/>
        </w:rPr>
        <w:drawing>
          <wp:inline distT="0" distB="0" distL="0" distR="0" wp14:anchorId="29E089EA" wp14:editId="746EB8C3">
            <wp:extent cx="5143500" cy="3352800"/>
            <wp:effectExtent l="0" t="0" r="19050" b="1905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66400" w:rsidRDefault="00266400"/>
    <w:p w:rsidR="00541827" w:rsidRDefault="00541827">
      <w:pPr>
        <w:rPr>
          <w:rFonts w:asciiTheme="majorHAnsi" w:hAnsiTheme="majorHAnsi"/>
          <w:sz w:val="24"/>
          <w:szCs w:val="24"/>
          <w:highlight w:val="yellow"/>
        </w:rPr>
      </w:pPr>
      <w:r>
        <w:rPr>
          <w:rFonts w:asciiTheme="majorHAnsi" w:hAnsiTheme="majorHAnsi"/>
          <w:sz w:val="24"/>
          <w:szCs w:val="24"/>
          <w:highlight w:val="yellow"/>
        </w:rPr>
        <w:br w:type="page"/>
      </w:r>
    </w:p>
    <w:p w:rsidR="00266400" w:rsidRDefault="00541827">
      <w:pPr>
        <w:rPr>
          <w:rFonts w:asciiTheme="majorHAnsi" w:hAnsiTheme="majorHAnsi"/>
          <w:sz w:val="24"/>
          <w:szCs w:val="24"/>
        </w:rPr>
      </w:pPr>
      <w:r w:rsidRPr="00541827">
        <w:rPr>
          <w:rFonts w:asciiTheme="majorHAnsi" w:hAnsiTheme="majorHAnsi"/>
          <w:sz w:val="24"/>
          <w:szCs w:val="24"/>
          <w:highlight w:val="yellow"/>
        </w:rPr>
        <w:lastRenderedPageBreak/>
        <w:t>DISTRIBUCIÓN TERRITORIAL: SOLICITUDES Y ASPIRANTES QUE SUPERAN EL PROCESO SELECTIVO</w:t>
      </w:r>
    </w:p>
    <w:p w:rsidR="000D4E6F" w:rsidRPr="00541827" w:rsidRDefault="000D4E6F">
      <w:pPr>
        <w:rPr>
          <w:rFonts w:asciiTheme="majorHAnsi" w:hAnsiTheme="majorHAnsi"/>
          <w:sz w:val="24"/>
          <w:szCs w:val="24"/>
        </w:rPr>
      </w:pPr>
    </w:p>
    <w:p w:rsidR="00266400" w:rsidRDefault="00266400">
      <w:bookmarkStart w:id="0" w:name="_GoBack"/>
      <w:r>
        <w:rPr>
          <w:noProof/>
          <w:lang w:eastAsia="es-ES"/>
        </w:rPr>
        <w:drawing>
          <wp:inline distT="0" distB="0" distL="0" distR="0" wp14:anchorId="4B143C26" wp14:editId="429638E8">
            <wp:extent cx="6654800" cy="6007100"/>
            <wp:effectExtent l="0" t="0" r="12700" b="1270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bookmarkEnd w:id="0"/>
    </w:p>
    <w:p w:rsidR="000D4E6F" w:rsidRDefault="000D4E6F"/>
    <w:p w:rsidR="006F14B7" w:rsidRDefault="006F14B7">
      <w:r>
        <w:br w:type="page"/>
      </w:r>
    </w:p>
    <w:p w:rsidR="006F14B7" w:rsidRDefault="006F14B7"/>
    <w:p w:rsidR="00266400" w:rsidRDefault="00266400">
      <w:r>
        <w:rPr>
          <w:noProof/>
          <w:lang w:eastAsia="es-ES"/>
        </w:rPr>
        <w:drawing>
          <wp:inline distT="0" distB="0" distL="0" distR="0" wp14:anchorId="02A9B43B" wp14:editId="162385EC">
            <wp:extent cx="6019800" cy="3517900"/>
            <wp:effectExtent l="0" t="0" r="19050" b="2540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sectPr w:rsidR="00266400" w:rsidSect="000D4E6F">
      <w:head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400" w:rsidRDefault="00266400" w:rsidP="00266400">
      <w:pPr>
        <w:spacing w:after="0" w:line="240" w:lineRule="auto"/>
      </w:pPr>
      <w:r>
        <w:separator/>
      </w:r>
    </w:p>
  </w:endnote>
  <w:endnote w:type="continuationSeparator" w:id="0">
    <w:p w:rsidR="00266400" w:rsidRDefault="00266400" w:rsidP="00266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400" w:rsidRDefault="00266400" w:rsidP="00266400">
      <w:pPr>
        <w:spacing w:after="0" w:line="240" w:lineRule="auto"/>
      </w:pPr>
      <w:r>
        <w:separator/>
      </w:r>
    </w:p>
  </w:footnote>
  <w:footnote w:type="continuationSeparator" w:id="0">
    <w:p w:rsidR="00266400" w:rsidRDefault="00266400" w:rsidP="00266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400" w:rsidRPr="00266400" w:rsidRDefault="00266400" w:rsidP="00266400">
    <w:pPr>
      <w:pStyle w:val="Encabezado"/>
      <w:jc w:val="center"/>
      <w:rPr>
        <w:rFonts w:asciiTheme="majorHAnsi" w:hAnsiTheme="majorHAnsi"/>
        <w:b/>
        <w:sz w:val="36"/>
        <w:szCs w:val="36"/>
      </w:rPr>
    </w:pPr>
    <w:r w:rsidRPr="00266400">
      <w:rPr>
        <w:rFonts w:asciiTheme="majorHAnsi" w:hAnsiTheme="majorHAnsi"/>
        <w:b/>
        <w:sz w:val="36"/>
        <w:szCs w:val="36"/>
      </w:rPr>
      <w:t>ESCALA TÉCNICA DE GESTIÓN DE ORGANISMOS</w:t>
    </w:r>
  </w:p>
  <w:p w:rsidR="00266400" w:rsidRDefault="00266400" w:rsidP="005817B1">
    <w:pPr>
      <w:pStyle w:val="Encabezado"/>
      <w:jc w:val="center"/>
      <w:rPr>
        <w:rFonts w:asciiTheme="majorHAnsi" w:hAnsiTheme="majorHAnsi"/>
        <w:b/>
        <w:sz w:val="36"/>
        <w:szCs w:val="36"/>
      </w:rPr>
    </w:pPr>
    <w:r w:rsidRPr="00266400">
      <w:rPr>
        <w:rFonts w:asciiTheme="majorHAnsi" w:hAnsiTheme="majorHAnsi"/>
        <w:b/>
        <w:sz w:val="36"/>
        <w:szCs w:val="36"/>
      </w:rPr>
      <w:t>AUTÓNOMOS OEP 2015</w:t>
    </w:r>
  </w:p>
  <w:p w:rsidR="00576EFA" w:rsidRDefault="00576EFA" w:rsidP="005817B1">
    <w:pPr>
      <w:pStyle w:val="Encabezado"/>
      <w:jc w:val="center"/>
      <w:rPr>
        <w:rFonts w:asciiTheme="majorHAnsi" w:hAnsiTheme="majorHAnsi"/>
        <w:b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400"/>
    <w:rsid w:val="000D4E6F"/>
    <w:rsid w:val="00266400"/>
    <w:rsid w:val="003279D5"/>
    <w:rsid w:val="00541827"/>
    <w:rsid w:val="00576EFA"/>
    <w:rsid w:val="005817B1"/>
    <w:rsid w:val="006F14B7"/>
    <w:rsid w:val="007A60E2"/>
    <w:rsid w:val="008130C1"/>
    <w:rsid w:val="00A237F0"/>
    <w:rsid w:val="00B8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6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640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664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400"/>
  </w:style>
  <w:style w:type="paragraph" w:styleId="Piedepgina">
    <w:name w:val="footer"/>
    <w:basedOn w:val="Normal"/>
    <w:link w:val="PiedepginaCar"/>
    <w:uiPriority w:val="99"/>
    <w:unhideWhenUsed/>
    <w:rsid w:val="002664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400"/>
  </w:style>
  <w:style w:type="paragraph" w:customStyle="1" w:styleId="Default">
    <w:name w:val="Default"/>
    <w:rsid w:val="005418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6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640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664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400"/>
  </w:style>
  <w:style w:type="paragraph" w:styleId="Piedepgina">
    <w:name w:val="footer"/>
    <w:basedOn w:val="Normal"/>
    <w:link w:val="PiedepginaCar"/>
    <w:uiPriority w:val="99"/>
    <w:unhideWhenUsed/>
    <w:rsid w:val="002664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400"/>
  </w:style>
  <w:style w:type="paragraph" w:customStyle="1" w:styleId="Default">
    <w:name w:val="Default"/>
    <w:rsid w:val="005418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microsoft.com/office/2007/relationships/stylesWithEffects" Target="stylesWithEffects.xml"/><Relationship Id="rId16" Type="http://schemas.openxmlformats.org/officeDocument/2006/relationships/chart" Target="charts/chart10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4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5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garzon\AppData\Local\Microsoft\Windows\INetCache\Content.Outlook\LOYNWP47\Gr&#225;ficas%20ETGOOAA%202015.xlsm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1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2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/>
              <a:t>Solicitudes por medio de presentación</a:t>
            </a:r>
          </a:p>
        </c:rich>
      </c:tx>
      <c:layout/>
      <c:overlay val="1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548810498254272"/>
          <c:y val="0.16955416655392302"/>
          <c:w val="0.46388888888889057"/>
          <c:h val="0.77314814814815003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0.18471775535100371"/>
                  <c:y val="-0.1653957636566332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14735661176057729"/>
                  <c:y val="-0.35494880546075086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0.10574300737443819"/>
                  <c:y val="0.10630198359698645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numFmt formatCode="0.00%" sourceLinked="0"/>
            <c:spPr>
              <a:ln>
                <a:solidFill>
                  <a:srgbClr val="4F81BD">
                    <a:lumMod val="75000"/>
                    <a:alpha val="43000"/>
                  </a:srgbClr>
                </a:solidFill>
              </a:ln>
            </c:spPr>
            <c:showLegendKey val="0"/>
            <c:showVal val="1"/>
            <c:showCatName val="1"/>
            <c:showSerName val="0"/>
            <c:showPercent val="1"/>
            <c:showBubbleSize val="0"/>
            <c:showLeaderLines val="1"/>
          </c:dLbls>
          <c:cat>
            <c:strRef>
              <c:f>Gráficas!$E$5:$E$7</c:f>
              <c:strCache>
                <c:ptCount val="3"/>
                <c:pt idx="0">
                  <c:v>Sin datos</c:v>
                </c:pt>
                <c:pt idx="1">
                  <c:v>Papel</c:v>
                </c:pt>
                <c:pt idx="2">
                  <c:v>Telemática</c:v>
                </c:pt>
              </c:strCache>
            </c:strRef>
          </c:cat>
          <c:val>
            <c:numRef>
              <c:f>Gráficas!$F$5:$F$7</c:f>
              <c:numCache>
                <c:formatCode>General</c:formatCode>
                <c:ptCount val="3"/>
                <c:pt idx="1">
                  <c:v>224</c:v>
                </c:pt>
                <c:pt idx="2">
                  <c:v>124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s-ES"/>
              <a:t>Solicitudes</a:t>
            </a:r>
            <a:r>
              <a:rPr lang="es-ES" baseline="0"/>
              <a:t> por Comunidad Autónoma</a:t>
            </a:r>
            <a:endParaRPr lang="es-ES"/>
          </a:p>
        </c:rich>
      </c:tx>
      <c:layout/>
      <c:overlay val="1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805555555555555"/>
          <c:y val="0.22453703703703767"/>
          <c:w val="0.46388888888889129"/>
          <c:h val="0.77314814814815092"/>
        </c:manualLayout>
      </c:layout>
      <c:pie3DChart>
        <c:varyColors val="1"/>
        <c:ser>
          <c:idx val="0"/>
          <c:order val="0"/>
          <c:dLbls>
            <c:dLbl>
              <c:idx val="0"/>
              <c:layout>
                <c:manualLayout>
                  <c:x val="5.1733635871851896E-2"/>
                  <c:y val="-0.12351084549949223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7.6382460780188739E-3"/>
                  <c:y val="-8.2185746866208276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1.1866923123159224E-2"/>
                  <c:y val="-6.4556441544172727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0.12511029632746301"/>
                  <c:y val="-3.3264303907043373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7.1715453507242899E-2"/>
                  <c:y val="8.2328411379867156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1.2762216745806137E-3"/>
                  <c:y val="-1.900700837342478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7.4983470577628182E-4"/>
                  <c:y val="2.0944881889763779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1.4446114083067861E-2"/>
                  <c:y val="2.6738692547152536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9.3885616397187E-3"/>
                  <c:y val="5.8483627707213132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9"/>
              <c:layout>
                <c:manualLayout>
                  <c:x val="9.6791789385104084E-3"/>
                  <c:y val="7.1848812238850687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10"/>
              <c:layout>
                <c:manualLayout>
                  <c:x val="2.3245627216445273E-2"/>
                  <c:y val="9.2499542208386742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11"/>
              <c:layout>
                <c:manualLayout>
                  <c:x val="3.0523381619282322E-2"/>
                  <c:y val="7.6725707912303778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12"/>
              <c:layout>
                <c:manualLayout>
                  <c:x val="9.7920298130672601E-3"/>
                  <c:y val="6.7699222586605851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13"/>
              <c:layout>
                <c:manualLayout>
                  <c:x val="7.4229127847568674E-3"/>
                  <c:y val="7.8940420502405489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14"/>
              <c:layout>
                <c:manualLayout>
                  <c:x val="-9.1687353489210796E-2"/>
                  <c:y val="0.1010689017995372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15"/>
              <c:layout>
                <c:manualLayout>
                  <c:x val="-5.9646836610530579E-2"/>
                  <c:y val="-2.6426745837098312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17"/>
              <c:layout>
                <c:manualLayout>
                  <c:x val="-0.18913430907014486"/>
                  <c:y val="-6.6702568627124564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numFmt formatCode="0.00%" sourceLinked="0"/>
            <c:spPr>
              <a:ln>
                <a:solidFill>
                  <a:srgbClr val="4F81BD">
                    <a:lumMod val="75000"/>
                    <a:alpha val="43000"/>
                  </a:srgbClr>
                </a:solidFill>
              </a:ln>
            </c:spPr>
            <c:showLegendKey val="1"/>
            <c:showVal val="1"/>
            <c:showCatName val="1"/>
            <c:showSerName val="0"/>
            <c:showPercent val="1"/>
            <c:showBubbleSize val="0"/>
            <c:showLeaderLines val="1"/>
          </c:dLbls>
          <c:cat>
            <c:strRef>
              <c:f>Gráficas!$E$225:$E$244</c:f>
              <c:strCache>
                <c:ptCount val="20"/>
                <c:pt idx="0">
                  <c:v>Sin datos</c:v>
                </c:pt>
                <c:pt idx="1">
                  <c:v>Andalucía</c:v>
                </c:pt>
                <c:pt idx="2">
                  <c:v>Aragón</c:v>
                </c:pt>
                <c:pt idx="3">
                  <c:v>Asturias</c:v>
                </c:pt>
                <c:pt idx="4">
                  <c:v>Ceuta</c:v>
                </c:pt>
                <c:pt idx="5">
                  <c:v>Castilla y León</c:v>
                </c:pt>
                <c:pt idx="6">
                  <c:v>Castilla-La Mancha</c:v>
                </c:pt>
                <c:pt idx="7">
                  <c:v>Cantabria</c:v>
                </c:pt>
                <c:pt idx="8">
                  <c:v>Cataluña</c:v>
                </c:pt>
                <c:pt idx="9">
                  <c:v>Comunidad Valenciana</c:v>
                </c:pt>
                <c:pt idx="10">
                  <c:v>Extremadura</c:v>
                </c:pt>
                <c:pt idx="11">
                  <c:v>Galicia</c:v>
                </c:pt>
                <c:pt idx="12">
                  <c:v>Islas Baleares</c:v>
                </c:pt>
                <c:pt idx="13">
                  <c:v>Canarias</c:v>
                </c:pt>
                <c:pt idx="14">
                  <c:v>La Rioja</c:v>
                </c:pt>
                <c:pt idx="15">
                  <c:v>Madrid</c:v>
                </c:pt>
                <c:pt idx="16">
                  <c:v>Melilla</c:v>
                </c:pt>
                <c:pt idx="17">
                  <c:v>Murcia</c:v>
                </c:pt>
                <c:pt idx="18">
                  <c:v>Navarra</c:v>
                </c:pt>
                <c:pt idx="19">
                  <c:v>País Vasco</c:v>
                </c:pt>
              </c:strCache>
            </c:strRef>
          </c:cat>
          <c:val>
            <c:numRef>
              <c:f>Gráficas!$F$225:$F$244</c:f>
              <c:numCache>
                <c:formatCode>General</c:formatCode>
                <c:ptCount val="20"/>
                <c:pt idx="0">
                  <c:v>3</c:v>
                </c:pt>
                <c:pt idx="1">
                  <c:v>25</c:v>
                </c:pt>
                <c:pt idx="2">
                  <c:v>6</c:v>
                </c:pt>
                <c:pt idx="3">
                  <c:v>4</c:v>
                </c:pt>
                <c:pt idx="4">
                  <c:v>4</c:v>
                </c:pt>
                <c:pt idx="5">
                  <c:v>20</c:v>
                </c:pt>
                <c:pt idx="6">
                  <c:v>13</c:v>
                </c:pt>
                <c:pt idx="7">
                  <c:v>7</c:v>
                </c:pt>
                <c:pt idx="8">
                  <c:v>2</c:v>
                </c:pt>
                <c:pt idx="9">
                  <c:v>13</c:v>
                </c:pt>
                <c:pt idx="10">
                  <c:v>8</c:v>
                </c:pt>
                <c:pt idx="11">
                  <c:v>19</c:v>
                </c:pt>
                <c:pt idx="12">
                  <c:v>3</c:v>
                </c:pt>
                <c:pt idx="13">
                  <c:v>18</c:v>
                </c:pt>
                <c:pt idx="14">
                  <c:v>2</c:v>
                </c:pt>
                <c:pt idx="15">
                  <c:v>189</c:v>
                </c:pt>
                <c:pt idx="16">
                  <c:v>2</c:v>
                </c:pt>
                <c:pt idx="17">
                  <c:v>7</c:v>
                </c:pt>
                <c:pt idx="19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s-ES"/>
              <a:t>Aprobados</a:t>
            </a:r>
            <a:r>
              <a:rPr lang="es-ES" baseline="0"/>
              <a:t> por Comunidad Autónoma</a:t>
            </a:r>
            <a:endParaRPr lang="es-ES"/>
          </a:p>
        </c:rich>
      </c:tx>
      <c:layout/>
      <c:overlay val="1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805555555555555"/>
          <c:y val="0.22453703703703767"/>
          <c:w val="0.46388888888889129"/>
          <c:h val="0.77314814814815092"/>
        </c:manualLayout>
      </c:layout>
      <c:pie3DChart>
        <c:varyColors val="1"/>
        <c:ser>
          <c:idx val="0"/>
          <c:order val="0"/>
          <c:dLbls>
            <c:dLbl>
              <c:idx val="0"/>
              <c:layout>
                <c:manualLayout>
                  <c:x val="5.2114687056060418E-3"/>
                  <c:y val="-9.9051503807925642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10753391855986436"/>
                  <c:y val="-1.8685298953015489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0.10023046856503896"/>
                  <c:y val="-7.2589772432292516E-3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8.4910775922840756E-2"/>
                  <c:y val="-1.0316172016959418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7.456357736533234E-2"/>
                  <c:y val="1.4214761616336419E-3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7.7532911180145866E-2"/>
                  <c:y val="1.0578696893657523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7.7431537637496467E-2"/>
                  <c:y val="-9.9121744397334954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0.11417097257056505"/>
                  <c:y val="-0.11937630873063944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0.13265400701437122"/>
                  <c:y val="-6.7938392316345075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9"/>
              <c:layout>
                <c:manualLayout>
                  <c:x val="5.2586280589890309E-2"/>
                  <c:y val="-5.4677509573598383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10"/>
              <c:layout>
                <c:manualLayout>
                  <c:x val="0.21829982056777034"/>
                  <c:y val="-6.7942515382298521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11"/>
              <c:layout>
                <c:manualLayout>
                  <c:x val="0.25875686800455017"/>
                  <c:y val="-4.0268835248053012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12"/>
              <c:layout>
                <c:manualLayout>
                  <c:x val="-0.19691386945778289"/>
                  <c:y val="-5.6746733581379251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13"/>
              <c:layout>
                <c:manualLayout>
                  <c:x val="0.10153021085167219"/>
                  <c:y val="2.4418226410223353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14"/>
              <c:layout>
                <c:manualLayout>
                  <c:x val="0.21584874177637581"/>
                  <c:y val="-1.4061357084462804E-3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15"/>
              <c:layout>
                <c:manualLayout>
                  <c:x val="-0.14843607741379461"/>
                  <c:y val="-0.18161800266769931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17"/>
              <c:layout>
                <c:manualLayout>
                  <c:x val="-0.21859567877531438"/>
                  <c:y val="-5.8592831633750682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19"/>
              <c:layout>
                <c:manualLayout>
                  <c:x val="-4.2454010891353087E-3"/>
                  <c:y val="-9.0223828578804705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numFmt formatCode="0.00%" sourceLinked="0"/>
            <c:spPr>
              <a:ln>
                <a:solidFill>
                  <a:srgbClr val="4F81BD">
                    <a:lumMod val="75000"/>
                    <a:alpha val="43000"/>
                  </a:srgbClr>
                </a:solidFill>
              </a:ln>
            </c:spPr>
            <c:showLegendKey val="1"/>
            <c:showVal val="1"/>
            <c:showCatName val="1"/>
            <c:showSerName val="0"/>
            <c:showPercent val="1"/>
            <c:showBubbleSize val="0"/>
            <c:showLeaderLines val="1"/>
          </c:dLbls>
          <c:cat>
            <c:strRef>
              <c:f>Gráficas!$E$264:$E$283</c:f>
              <c:strCache>
                <c:ptCount val="20"/>
                <c:pt idx="0">
                  <c:v>Sin datos</c:v>
                </c:pt>
                <c:pt idx="1">
                  <c:v>Andalucía</c:v>
                </c:pt>
                <c:pt idx="2">
                  <c:v>Aragón</c:v>
                </c:pt>
                <c:pt idx="3">
                  <c:v>Asturias</c:v>
                </c:pt>
                <c:pt idx="4">
                  <c:v>Ceuta</c:v>
                </c:pt>
                <c:pt idx="5">
                  <c:v>Castilla y León</c:v>
                </c:pt>
                <c:pt idx="6">
                  <c:v>Castilla-La Mancha</c:v>
                </c:pt>
                <c:pt idx="7">
                  <c:v>Cantabria</c:v>
                </c:pt>
                <c:pt idx="8">
                  <c:v>Cataluña</c:v>
                </c:pt>
                <c:pt idx="9">
                  <c:v>Comunidad Valenciana</c:v>
                </c:pt>
                <c:pt idx="10">
                  <c:v>Extremadura</c:v>
                </c:pt>
                <c:pt idx="11">
                  <c:v>Galicia</c:v>
                </c:pt>
                <c:pt idx="12">
                  <c:v>Islas Baleares</c:v>
                </c:pt>
                <c:pt idx="13">
                  <c:v>Canarias</c:v>
                </c:pt>
                <c:pt idx="14">
                  <c:v>La Rioja</c:v>
                </c:pt>
                <c:pt idx="15">
                  <c:v>Madrid</c:v>
                </c:pt>
                <c:pt idx="16">
                  <c:v>Melilla</c:v>
                </c:pt>
                <c:pt idx="17">
                  <c:v>Murcia</c:v>
                </c:pt>
                <c:pt idx="18">
                  <c:v>Navarra</c:v>
                </c:pt>
                <c:pt idx="19">
                  <c:v>País Vasco</c:v>
                </c:pt>
              </c:strCache>
            </c:strRef>
          </c:cat>
          <c:val>
            <c:numRef>
              <c:f>Gráficas!$F$264:$F$283</c:f>
              <c:numCache>
                <c:formatCode>General</c:formatCode>
                <c:ptCount val="20"/>
                <c:pt idx="1">
                  <c:v>2</c:v>
                </c:pt>
                <c:pt idx="5">
                  <c:v>1</c:v>
                </c:pt>
                <c:pt idx="13">
                  <c:v>1</c:v>
                </c:pt>
                <c:pt idx="15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/>
              <a:t>Solicitudes</a:t>
            </a:r>
            <a:r>
              <a:rPr lang="es-ES" baseline="0"/>
              <a:t> por edad</a:t>
            </a:r>
            <a:endParaRPr lang="es-ES"/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9999997852541312E-2"/>
          <c:y val="0.13171013895054126"/>
          <c:w val="0.94000000429491737"/>
          <c:h val="0.70458418113772614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Gráficas!$E$25:$E$36</c:f>
              <c:strCache>
                <c:ptCount val="12"/>
                <c:pt idx="0">
                  <c:v>Sin datos</c:v>
                </c:pt>
                <c:pt idx="1">
                  <c:v>16-20</c:v>
                </c:pt>
                <c:pt idx="2">
                  <c:v>21-25</c:v>
                </c:pt>
                <c:pt idx="3">
                  <c:v>26-30</c:v>
                </c:pt>
                <c:pt idx="4">
                  <c:v>31-35</c:v>
                </c:pt>
                <c:pt idx="5">
                  <c:v>36-40</c:v>
                </c:pt>
                <c:pt idx="6">
                  <c:v>41-45</c:v>
                </c:pt>
                <c:pt idx="7">
                  <c:v>46-50</c:v>
                </c:pt>
                <c:pt idx="8">
                  <c:v>51-55</c:v>
                </c:pt>
                <c:pt idx="9">
                  <c:v>56-60</c:v>
                </c:pt>
                <c:pt idx="10">
                  <c:v>61-65</c:v>
                </c:pt>
                <c:pt idx="11">
                  <c:v>66-70</c:v>
                </c:pt>
              </c:strCache>
            </c:strRef>
          </c:cat>
          <c:val>
            <c:numRef>
              <c:f>Gráficas!$F$25:$F$36</c:f>
              <c:numCache>
                <c:formatCode>General</c:formatCode>
                <c:ptCount val="12"/>
                <c:pt idx="3">
                  <c:v>5</c:v>
                </c:pt>
                <c:pt idx="4">
                  <c:v>46</c:v>
                </c:pt>
                <c:pt idx="5">
                  <c:v>81</c:v>
                </c:pt>
                <c:pt idx="6">
                  <c:v>69</c:v>
                </c:pt>
                <c:pt idx="7">
                  <c:v>65</c:v>
                </c:pt>
                <c:pt idx="8">
                  <c:v>62</c:v>
                </c:pt>
                <c:pt idx="9">
                  <c:v>18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00658176"/>
        <c:axId val="100902016"/>
        <c:axId val="0"/>
      </c:bar3DChart>
      <c:catAx>
        <c:axId val="100658176"/>
        <c:scaling>
          <c:orientation val="minMax"/>
        </c:scaling>
        <c:delete val="0"/>
        <c:axPos val="b"/>
        <c:majorTickMark val="none"/>
        <c:minorTickMark val="none"/>
        <c:tickLblPos val="nextTo"/>
        <c:crossAx val="100902016"/>
        <c:crosses val="autoZero"/>
        <c:auto val="1"/>
        <c:lblAlgn val="ctr"/>
        <c:lblOffset val="100"/>
        <c:noMultiLvlLbl val="0"/>
      </c:catAx>
      <c:valAx>
        <c:axId val="10090201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006581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/>
              <a:t>Aprobados por edad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Gráficas!$E$45:$E$56</c:f>
              <c:strCache>
                <c:ptCount val="12"/>
                <c:pt idx="0">
                  <c:v>Sin datos</c:v>
                </c:pt>
                <c:pt idx="1">
                  <c:v>16-20</c:v>
                </c:pt>
                <c:pt idx="2">
                  <c:v>21-25</c:v>
                </c:pt>
                <c:pt idx="3">
                  <c:v>26-30</c:v>
                </c:pt>
                <c:pt idx="4">
                  <c:v>31-35</c:v>
                </c:pt>
                <c:pt idx="5">
                  <c:v>36-40</c:v>
                </c:pt>
                <c:pt idx="6">
                  <c:v>41-45</c:v>
                </c:pt>
                <c:pt idx="7">
                  <c:v>46-50</c:v>
                </c:pt>
                <c:pt idx="8">
                  <c:v>51-55</c:v>
                </c:pt>
                <c:pt idx="9">
                  <c:v>56-60</c:v>
                </c:pt>
                <c:pt idx="10">
                  <c:v>61-65</c:v>
                </c:pt>
                <c:pt idx="11">
                  <c:v>66-70</c:v>
                </c:pt>
              </c:strCache>
            </c:strRef>
          </c:cat>
          <c:val>
            <c:numRef>
              <c:f>Gráficas!$F$45:$F$56</c:f>
              <c:numCache>
                <c:formatCode>General</c:formatCode>
                <c:ptCount val="12"/>
                <c:pt idx="3">
                  <c:v>1</c:v>
                </c:pt>
                <c:pt idx="4">
                  <c:v>8</c:v>
                </c:pt>
                <c:pt idx="5">
                  <c:v>5</c:v>
                </c:pt>
                <c:pt idx="6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00837888"/>
        <c:axId val="100907200"/>
        <c:axId val="0"/>
      </c:bar3DChart>
      <c:catAx>
        <c:axId val="100837888"/>
        <c:scaling>
          <c:orientation val="minMax"/>
        </c:scaling>
        <c:delete val="0"/>
        <c:axPos val="b"/>
        <c:majorTickMark val="none"/>
        <c:minorTickMark val="none"/>
        <c:tickLblPos val="nextTo"/>
        <c:crossAx val="100907200"/>
        <c:crosses val="autoZero"/>
        <c:auto val="1"/>
        <c:lblAlgn val="ctr"/>
        <c:lblOffset val="100"/>
        <c:noMultiLvlLbl val="0"/>
      </c:catAx>
      <c:valAx>
        <c:axId val="10090720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008378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/>
              <a:t>Solicitudes por titulación</a:t>
            </a:r>
          </a:p>
        </c:rich>
      </c:tx>
      <c:layout/>
      <c:overlay val="1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548810498254272"/>
          <c:y val="0.16955416655392302"/>
          <c:w val="0.46388888888889057"/>
          <c:h val="0.77314814814815003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0.36887880550188895"/>
                  <c:y val="8.3115820807612026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11755983799872306"/>
                  <c:y val="0.18163321818877157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0.19674304184280425"/>
                  <c:y val="0.12333537827868019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2.960125142516221E-2"/>
                  <c:y val="-4.1374106715800447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0.15880487893594578"/>
                  <c:y val="-5.0225995772860021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9.8119517541567489E-2"/>
                  <c:y val="0.20622428946770383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0.30001990105496495"/>
                  <c:y val="6.7787351892333106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numFmt formatCode="0.00%" sourceLinked="0"/>
            <c:spPr>
              <a:ln>
                <a:solidFill>
                  <a:srgbClr val="4F81BD">
                    <a:lumMod val="75000"/>
                    <a:alpha val="43000"/>
                  </a:srgbClr>
                </a:solidFill>
              </a:ln>
            </c:spPr>
            <c:showLegendKey val="1"/>
            <c:showVal val="1"/>
            <c:showCatName val="1"/>
            <c:showSerName val="0"/>
            <c:showPercent val="1"/>
            <c:showBubbleSize val="0"/>
            <c:showLeaderLines val="1"/>
          </c:dLbls>
          <c:cat>
            <c:strRef>
              <c:f>Gráficas!$E$65:$E$74</c:f>
              <c:strCache>
                <c:ptCount val="10"/>
                <c:pt idx="0">
                  <c:v>Sin datos</c:v>
                </c:pt>
                <c:pt idx="1">
                  <c:v>Licenciado</c:v>
                </c:pt>
                <c:pt idx="2">
                  <c:v>Grado</c:v>
                </c:pt>
                <c:pt idx="3">
                  <c:v>Diplomado</c:v>
                </c:pt>
                <c:pt idx="4">
                  <c:v>Técnico Superior</c:v>
                </c:pt>
                <c:pt idx="5">
                  <c:v>Bachiller</c:v>
                </c:pt>
                <c:pt idx="6">
                  <c:v>Técnico</c:v>
                </c:pt>
                <c:pt idx="7">
                  <c:v>Graduado ESO</c:v>
                </c:pt>
                <c:pt idx="8">
                  <c:v>Antigüedad 10 años</c:v>
                </c:pt>
                <c:pt idx="9">
                  <c:v>Antigüedad 5 años</c:v>
                </c:pt>
              </c:strCache>
            </c:strRef>
          </c:cat>
          <c:val>
            <c:numRef>
              <c:f>Gráficas!$F$65:$F$74</c:f>
              <c:numCache>
                <c:formatCode>General</c:formatCode>
                <c:ptCount val="10"/>
                <c:pt idx="1">
                  <c:v>330</c:v>
                </c:pt>
                <c:pt idx="2">
                  <c:v>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/>
              <a:t>Aprobados por titulación</a:t>
            </a:r>
          </a:p>
        </c:rich>
      </c:tx>
      <c:layout/>
      <c:overlay val="1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548810498254272"/>
          <c:y val="0.16955416655392302"/>
          <c:w val="0.46388888888889057"/>
          <c:h val="0.77314814814815003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0.33339033285350617"/>
                  <c:y val="-0.16977529395658303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28873713173118692"/>
                  <c:y val="-0.10263108254854693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5.2919455497102016E-2"/>
                  <c:y val="-1.379734626097434E-3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5.3766400078935274E-2"/>
                  <c:y val="7.2770397467716241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0.1459836451792412"/>
                  <c:y val="0.30781496727570173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0.22102170176596778"/>
                  <c:y val="0.2176828803589724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0.35809753440144021"/>
                  <c:y val="9.6254508449279644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</c:dLbl>
            <c:numFmt formatCode="0.00%" sourceLinked="0"/>
            <c:spPr>
              <a:ln>
                <a:solidFill>
                  <a:srgbClr val="4F81BD">
                    <a:lumMod val="75000"/>
                    <a:alpha val="43000"/>
                  </a:srgbClr>
                </a:solidFill>
              </a:ln>
            </c:spPr>
            <c:showLegendKey val="1"/>
            <c:showVal val="1"/>
            <c:showCatName val="1"/>
            <c:showSerName val="0"/>
            <c:showPercent val="1"/>
            <c:showBubbleSize val="0"/>
            <c:showLeaderLines val="1"/>
          </c:dLbls>
          <c:cat>
            <c:strRef>
              <c:f>Gráficas!$E$85:$E$94</c:f>
              <c:strCache>
                <c:ptCount val="10"/>
                <c:pt idx="0">
                  <c:v>Sin datos</c:v>
                </c:pt>
                <c:pt idx="1">
                  <c:v>Licenciado</c:v>
                </c:pt>
                <c:pt idx="2">
                  <c:v>Grado</c:v>
                </c:pt>
                <c:pt idx="3">
                  <c:v>Diplomado</c:v>
                </c:pt>
                <c:pt idx="4">
                  <c:v>Técnico Superior</c:v>
                </c:pt>
                <c:pt idx="5">
                  <c:v>Bachiller</c:v>
                </c:pt>
                <c:pt idx="6">
                  <c:v>Técnico</c:v>
                </c:pt>
                <c:pt idx="7">
                  <c:v>Graduado ESO</c:v>
                </c:pt>
                <c:pt idx="8">
                  <c:v>Antigüedad 10 años</c:v>
                </c:pt>
                <c:pt idx="9">
                  <c:v>Antigüedad 5 años</c:v>
                </c:pt>
              </c:strCache>
            </c:strRef>
          </c:cat>
          <c:val>
            <c:numRef>
              <c:f>Gráficas!$F$85:$F$94</c:f>
              <c:numCache>
                <c:formatCode>General</c:formatCode>
                <c:ptCount val="10"/>
                <c:pt idx="1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s-ES"/>
              <a:t>Impacto de género: solicitudes</a:t>
            </a:r>
          </a:p>
        </c:rich>
      </c:tx>
      <c:layout/>
      <c:overlay val="1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805555555555555"/>
          <c:y val="0.22453703703703767"/>
          <c:w val="0.46388888888889129"/>
          <c:h val="0.77314814814815092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8.5928960567668924E-2"/>
                  <c:y val="-2.2548823775816129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5.3203341995764993E-2"/>
                  <c:y val="-4.5443107574767105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8.2729219517016464E-2"/>
                  <c:y val="-8.1984216855836151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numFmt formatCode="0.00%" sourceLinked="0"/>
            <c:spPr>
              <a:ln>
                <a:solidFill>
                  <a:srgbClr val="4F81BD">
                    <a:lumMod val="75000"/>
                    <a:alpha val="43000"/>
                  </a:srgbClr>
                </a:solidFill>
              </a:ln>
            </c:spPr>
            <c:showLegendKey val="0"/>
            <c:showVal val="1"/>
            <c:showCatName val="1"/>
            <c:showSerName val="0"/>
            <c:showPercent val="1"/>
            <c:showBubbleSize val="0"/>
            <c:showLeaderLines val="1"/>
          </c:dLbls>
          <c:cat>
            <c:strRef>
              <c:f>Gráficas!$E$105:$E$107</c:f>
              <c:strCache>
                <c:ptCount val="3"/>
                <c:pt idx="0">
                  <c:v>Sin datos</c:v>
                </c:pt>
                <c:pt idx="1">
                  <c:v>Mujeres</c:v>
                </c:pt>
                <c:pt idx="2">
                  <c:v>Hombres</c:v>
                </c:pt>
              </c:strCache>
            </c:strRef>
          </c:cat>
          <c:val>
            <c:numRef>
              <c:f>Gráficas!$F$105:$F$107</c:f>
              <c:numCache>
                <c:formatCode>General</c:formatCode>
                <c:ptCount val="3"/>
                <c:pt idx="1">
                  <c:v>186</c:v>
                </c:pt>
                <c:pt idx="2">
                  <c:v>162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s-ES"/>
              <a:t>Solicitudes CRD: impacto de género</a:t>
            </a:r>
          </a:p>
        </c:rich>
      </c:tx>
      <c:layout/>
      <c:overlay val="1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805555555555555"/>
          <c:y val="0.22453703703703767"/>
          <c:w val="0.46388888888889129"/>
          <c:h val="0.77314814814815092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8.5928960567668924E-2"/>
                  <c:y val="-2.2548823775816129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6.582987180833752E-2"/>
                  <c:y val="-1.1029475042651402E-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8.2729219517016464E-2"/>
                  <c:y val="-8.1984216855836151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0.26621029823793746"/>
                  <c:y val="-0.2520744370137942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numFmt formatCode="0.00%" sourceLinked="0"/>
            <c:spPr>
              <a:ln>
                <a:solidFill>
                  <a:srgbClr val="4F81BD">
                    <a:lumMod val="75000"/>
                    <a:alpha val="43000"/>
                  </a:srgbClr>
                </a:solidFill>
              </a:ln>
            </c:spPr>
            <c:showLegendKey val="0"/>
            <c:showVal val="1"/>
            <c:showCatName val="1"/>
            <c:showSerName val="0"/>
            <c:showPercent val="1"/>
            <c:showBubbleSize val="0"/>
            <c:showLeaderLines val="1"/>
          </c:dLbls>
          <c:cat>
            <c:strRef>
              <c:f>Gráficas!$E$185:$E$187</c:f>
              <c:strCache>
                <c:ptCount val="3"/>
                <c:pt idx="0">
                  <c:v>Sin datos</c:v>
                </c:pt>
                <c:pt idx="1">
                  <c:v>Mujeres</c:v>
                </c:pt>
                <c:pt idx="2">
                  <c:v>Hombres</c:v>
                </c:pt>
              </c:strCache>
            </c:strRef>
          </c:cat>
          <c:val>
            <c:numRef>
              <c:f>Gráficas!$F$185:$F$187</c:f>
              <c:numCache>
                <c:formatCode>General</c:formatCode>
                <c:ptCount val="3"/>
                <c:pt idx="1">
                  <c:v>4</c:v>
                </c:pt>
                <c:pt idx="2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s-ES"/>
              <a:t>Solicitudes</a:t>
            </a:r>
            <a:r>
              <a:rPr lang="es-ES" baseline="0"/>
              <a:t> por sistema de acceso</a:t>
            </a:r>
            <a:endParaRPr lang="es-ES"/>
          </a:p>
        </c:rich>
      </c:tx>
      <c:layout/>
      <c:overlay val="1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805555555555555"/>
          <c:y val="0.22453703703703767"/>
          <c:w val="0.46388888888889129"/>
          <c:h val="0.77314814814815092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8.5928960567668924E-2"/>
                  <c:y val="-2.2548823775816129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16027431327084718"/>
                  <c:y val="0.17667424905220178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8.2729219517016464E-2"/>
                  <c:y val="-8.1984216855836151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0.26621029823793746"/>
                  <c:y val="-0.2520744370137942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numFmt formatCode="0.00%" sourceLinked="0"/>
            <c:spPr>
              <a:ln>
                <a:solidFill>
                  <a:srgbClr val="4F81BD">
                    <a:lumMod val="75000"/>
                    <a:alpha val="43000"/>
                  </a:srgbClr>
                </a:solidFill>
              </a:ln>
            </c:spPr>
            <c:showLegendKey val="0"/>
            <c:showVal val="1"/>
            <c:showCatName val="1"/>
            <c:showSerName val="0"/>
            <c:showPercent val="1"/>
            <c:showBubbleSize val="0"/>
            <c:showLeaderLines val="1"/>
          </c:dLbls>
          <c:cat>
            <c:strRef>
              <c:f>Gráficas!$E$145:$E$148</c:f>
              <c:strCache>
                <c:ptCount val="4"/>
                <c:pt idx="0">
                  <c:v>Sin datos</c:v>
                </c:pt>
                <c:pt idx="1">
                  <c:v>CRD</c:v>
                </c:pt>
                <c:pt idx="2">
                  <c:v>CRDI</c:v>
                </c:pt>
                <c:pt idx="3">
                  <c:v>General</c:v>
                </c:pt>
              </c:strCache>
            </c:strRef>
          </c:cat>
          <c:val>
            <c:numRef>
              <c:f>Gráficas!$F$145:$F$148</c:f>
              <c:numCache>
                <c:formatCode>General</c:formatCode>
                <c:ptCount val="4"/>
                <c:pt idx="1">
                  <c:v>17</c:v>
                </c:pt>
                <c:pt idx="3">
                  <c:v>331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s-ES"/>
              <a:t>Aprobados</a:t>
            </a:r>
            <a:r>
              <a:rPr lang="es-ES" baseline="0"/>
              <a:t> por sistema de acceso</a:t>
            </a:r>
            <a:endParaRPr lang="es-ES"/>
          </a:p>
        </c:rich>
      </c:tx>
      <c:layout/>
      <c:overlay val="1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805555555555555"/>
          <c:y val="0.22453703703703767"/>
          <c:w val="0.46388888888889129"/>
          <c:h val="0.77314814814815092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8.5928960567668924E-2"/>
                  <c:y val="-2.2548823775816129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6.582987180833752E-2"/>
                  <c:y val="-1.1029475042651402E-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8.2729219517016464E-2"/>
                  <c:y val="-8.1984216855836151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0.26621029823793746"/>
                  <c:y val="-0.2520744370137942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</c:dLbl>
            <c:numFmt formatCode="0.00%" sourceLinked="0"/>
            <c:spPr>
              <a:ln>
                <a:solidFill>
                  <a:srgbClr val="4F81BD">
                    <a:lumMod val="75000"/>
                    <a:alpha val="43000"/>
                  </a:srgbClr>
                </a:solidFill>
              </a:ln>
            </c:spPr>
            <c:showLegendKey val="0"/>
            <c:showVal val="1"/>
            <c:showCatName val="1"/>
            <c:showSerName val="0"/>
            <c:showPercent val="1"/>
            <c:showBubbleSize val="0"/>
            <c:showLeaderLines val="1"/>
          </c:dLbls>
          <c:cat>
            <c:strRef>
              <c:f>Gráficas!$E$165:$E$168</c:f>
              <c:strCache>
                <c:ptCount val="4"/>
                <c:pt idx="0">
                  <c:v>Sin datos</c:v>
                </c:pt>
                <c:pt idx="1">
                  <c:v>CRD</c:v>
                </c:pt>
                <c:pt idx="2">
                  <c:v>CRDI</c:v>
                </c:pt>
                <c:pt idx="3">
                  <c:v>General</c:v>
                </c:pt>
              </c:strCache>
            </c:strRef>
          </c:cat>
          <c:val>
            <c:numRef>
              <c:f>Gráficas!$F$165:$F$168</c:f>
              <c:numCache>
                <c:formatCode>General</c:formatCode>
                <c:ptCount val="4"/>
                <c:pt idx="3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7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admininap</dc:creator>
  <cp:lastModifiedBy>admininap</cp:lastModifiedBy>
  <cp:revision>3</cp:revision>
  <dcterms:created xsi:type="dcterms:W3CDTF">2016-10-27T07:47:00Z</dcterms:created>
  <dcterms:modified xsi:type="dcterms:W3CDTF">2016-10-27T12:13:00Z</dcterms:modified>
</cp:coreProperties>
</file>